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sz w:val="28"/>
          <w:szCs w:val="28"/>
        </w:rPr>
      </w:pPr>
      <w:r w:rsidDel="00000000" w:rsidR="00000000" w:rsidRPr="00000000">
        <w:rPr>
          <w:sz w:val="28"/>
          <w:szCs w:val="28"/>
          <w:rtl w:val="0"/>
        </w:rPr>
        <w:t xml:space="preserve">THE UNIVERSITY OF GUYANA’S SAFTEY PROTOCOL RELATING TO MONKEYPOX </w:t>
      </w:r>
    </w:p>
    <w:p w:rsidR="00000000" w:rsidDel="00000000" w:rsidP="00000000" w:rsidRDefault="00000000" w:rsidRPr="00000000" w14:paraId="00000002">
      <w:pPr>
        <w:rPr>
          <w:sz w:val="20"/>
          <w:szCs w:val="20"/>
        </w:rPr>
      </w:pPr>
      <w:r w:rsidDel="00000000" w:rsidR="00000000" w:rsidRPr="00000000">
        <w:rPr>
          <w:sz w:val="20"/>
          <w:szCs w:val="20"/>
          <w:rtl w:val="0"/>
        </w:rPr>
        <w:t xml:space="preserve">Version 1, August 16, 2022</w:t>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jc w:val="both"/>
        <w:rPr/>
      </w:pPr>
      <w:r w:rsidDel="00000000" w:rsidR="00000000" w:rsidRPr="00000000">
        <w:rPr>
          <w:rtl w:val="0"/>
        </w:rPr>
        <w:t xml:space="preserve">The WHO recently announced an outbreak of Monkeypox in many countries of the world. Last week Guyana’s Minister of Health announced the first case in Guyana. While this is an infectious disease which is transmitted upon very close person-to-person contact, we have been advised that the disease is self-limiting and is not expected to reach high levels in Guyana. The University’s Infectious Diseases Task Force immediately met upon the announcement of the first case to assess the University’s vulnerability and response. While there is no cause for alarm the task force through the Director of Occupational Health and Safety is issuing a YELLOW ALERT to all staff, students and visitors in order that the University is able to stay safe from this new health risk.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FOLLOWING PRECAUTIONS ARE NOW IN FORCE FOR ALL CAMPUSES IN THE UNIVERSITY OF GUYANA’S SYSTEM:</w:t>
      </w:r>
    </w:p>
    <w:p w:rsidR="00000000" w:rsidDel="00000000" w:rsidP="00000000" w:rsidRDefault="00000000" w:rsidRPr="00000000" w14:paraId="00000007">
      <w:pPr>
        <w:pStyle w:val="Heading2"/>
        <w:spacing w:line="276" w:lineRule="auto"/>
        <w:rPr>
          <w:rFonts w:ascii="Times New Roman" w:cs="Times New Roman" w:eastAsia="Times New Roman" w:hAnsi="Times New Roman"/>
          <w:b w:val="0"/>
        </w:rPr>
      </w:pPr>
      <w:r w:rsidDel="00000000" w:rsidR="00000000" w:rsidRPr="00000000">
        <w:rPr>
          <w:rtl w:val="0"/>
        </w:rPr>
      </w:r>
    </w:p>
    <w:p w:rsidR="00000000" w:rsidDel="00000000" w:rsidP="00000000" w:rsidRDefault="00000000" w:rsidRPr="00000000" w14:paraId="00000008">
      <w:pPr>
        <w:pStyle w:val="Heading2"/>
        <w:spacing w:line="276" w:lineRule="auto"/>
        <w:rPr>
          <w:sz w:val="28"/>
          <w:szCs w:val="28"/>
        </w:rPr>
      </w:pPr>
      <w:r w:rsidDel="00000000" w:rsidR="00000000" w:rsidRPr="00000000">
        <w:rPr>
          <w:sz w:val="28"/>
          <w:szCs w:val="28"/>
          <w:rtl w:val="0"/>
        </w:rPr>
        <w:t xml:space="preserve">Individual Undertaking for One’s Own Health and Safety</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pPr>
      <w:bookmarkStart w:colFirst="0" w:colLast="0" w:name="_heading=h.gjdgxs" w:id="0"/>
      <w:bookmarkEnd w:id="0"/>
      <w:r w:rsidDel="00000000" w:rsidR="00000000" w:rsidRPr="00000000">
        <w:rPr>
          <w:color w:val="000000"/>
          <w:rtl w:val="0"/>
        </w:rPr>
        <w:t xml:space="preserve">Students/Staff should ensure that they are taking personal care of themselves whether it is personal hygiene or maintaining a healthy diet. Also, they should take full responsibility for keeping their personal belongings (cell phones, glasses, wallets, keys etc) clean and sanitized, as necessary.</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276" w:lineRule="auto"/>
        <w:ind w:left="720" w:hanging="360"/>
        <w:jc w:val="both"/>
        <w:rPr/>
      </w:pPr>
      <w:r w:rsidDel="00000000" w:rsidR="00000000" w:rsidRPr="00000000">
        <w:rPr>
          <w:color w:val="000000"/>
          <w:rtl w:val="0"/>
        </w:rPr>
        <w:t xml:space="preserve">Students/Staff are to ensure that they always have a well fitted face mask and sanitizer on their person while on campus.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r>
    </w:p>
    <w:p w:rsidR="00000000" w:rsidDel="00000000" w:rsidP="00000000" w:rsidRDefault="00000000" w:rsidRPr="00000000" w14:paraId="0000000C">
      <w:pPr>
        <w:spacing w:line="312" w:lineRule="auto"/>
        <w:jc w:val="both"/>
        <w:rPr>
          <w:b w:val="1"/>
        </w:rPr>
      </w:pPr>
      <w:r w:rsidDel="00000000" w:rsidR="00000000" w:rsidRPr="00000000">
        <w:rPr>
          <w:b w:val="1"/>
          <w:rtl w:val="0"/>
        </w:rPr>
        <w:t xml:space="preserve">The most common symptoms of Monkeypox include:</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fever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headache</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muscle aches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back pain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low energy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12" w:lineRule="auto"/>
        <w:ind w:left="78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swollen lymph nodes. </w:t>
      </w:r>
    </w:p>
    <w:p w:rsidR="00000000" w:rsidDel="00000000" w:rsidP="00000000" w:rsidRDefault="00000000" w:rsidRPr="00000000" w14:paraId="00000013">
      <w:pPr>
        <w:spacing w:line="312" w:lineRule="auto"/>
        <w:jc w:val="both"/>
        <w:rPr/>
      </w:pPr>
      <w:r w:rsidDel="00000000" w:rsidR="00000000" w:rsidRPr="00000000">
        <w:rPr>
          <w:rtl w:val="0"/>
        </w:rPr>
        <w:t xml:space="preserve">This is followed or accompanied by the development of a rash which can last for two to three weeks. The rash can be found on the face, palms of the hands, soles of the feet, eyes, mouth, throat, groin, and genital and/or anal regions of the body. The number of lesions can range from one to several thousands. Lesions begin flat, then fill with liquid before they crust over, dry up and fall off, with a fresh layer of skin forming underneath.</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Please also consult the FACT SHEET on Monkeypox circulated along with this advisory. It is also accessible at </w:t>
      </w:r>
      <w:hyperlink r:id="rId7">
        <w:r w:rsidDel="00000000" w:rsidR="00000000" w:rsidRPr="00000000">
          <w:rPr>
            <w:color w:val="1155cc"/>
            <w:highlight w:val="white"/>
            <w:u w:val="single"/>
            <w:rtl w:val="0"/>
          </w:rPr>
          <w:t xml:space="preserve">https://uog.edu.gy/documents/monkey-pox-documents</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r>
    </w:p>
    <w:p w:rsidR="00000000" w:rsidDel="00000000" w:rsidP="00000000" w:rsidRDefault="00000000" w:rsidRPr="00000000" w14:paraId="00000016">
      <w:pPr>
        <w:pStyle w:val="Heading2"/>
        <w:spacing w:line="276" w:lineRule="auto"/>
        <w:rPr/>
      </w:pPr>
      <w:r w:rsidDel="00000000" w:rsidR="00000000" w:rsidRPr="00000000">
        <w:rPr>
          <w:rtl w:val="0"/>
        </w:rPr>
        <w:t xml:space="preserve">Personal Advisory</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b w:val="1"/>
        </w:rPr>
      </w:pPr>
      <w:r w:rsidDel="00000000" w:rsidR="00000000" w:rsidRPr="00000000">
        <w:rPr>
          <w:b w:val="1"/>
          <w:color w:val="000000"/>
          <w:rtl w:val="0"/>
        </w:rPr>
        <w:t xml:space="preserve">Staying home when appropriate</w:t>
      </w:r>
      <w:r w:rsidDel="00000000" w:rsidR="00000000" w:rsidRPr="00000000">
        <w:rPr>
          <w:rtl w:val="0"/>
        </w:rPr>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0" w:line="276" w:lineRule="auto"/>
        <w:ind w:left="1260" w:hanging="360"/>
        <w:jc w:val="both"/>
        <w:rPr/>
      </w:pPr>
      <w:bookmarkStart w:colFirst="0" w:colLast="0" w:name="_heading=h.30j0zll" w:id="1"/>
      <w:bookmarkEnd w:id="1"/>
      <w:r w:rsidDel="00000000" w:rsidR="00000000" w:rsidRPr="00000000">
        <w:rPr>
          <w:color w:val="000000"/>
          <w:rtl w:val="0"/>
        </w:rPr>
        <w:t xml:space="preserve">Students or staff who think they might have been exposed and who think they are exhibiting symptoms of the Monkeypox virus are advised to call the University’s Dr Melisha Hanif from home. She will initiate a video call to assess your condition and will advise if you are to stay home, come to work or seek medical help. Please note the disease is classed as a notifiable virus and therefore must be reported to the health authorities if positive cases are presented. </w:t>
      </w:r>
      <w:r w:rsidDel="00000000" w:rsidR="00000000" w:rsidRPr="00000000">
        <w:rPr>
          <w:rtl w:val="0"/>
        </w:rPr>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color w:val="000000"/>
          <w:rtl w:val="0"/>
        </w:rPr>
        <w:t xml:space="preserve">If a student or </w:t>
      </w:r>
      <w:r w:rsidDel="00000000" w:rsidR="00000000" w:rsidRPr="00000000">
        <w:rPr>
          <w:rtl w:val="0"/>
        </w:rPr>
        <w:t xml:space="preserve">staff member has</w:t>
      </w:r>
      <w:r w:rsidDel="00000000" w:rsidR="00000000" w:rsidRPr="00000000">
        <w:rPr>
          <w:color w:val="000000"/>
          <w:rtl w:val="0"/>
        </w:rPr>
        <w:t xml:space="preserve"> been in contact with another person that has confirmed monkeypox or anyone that exhibits the symptoms of the virus within the last 5-21 days, they must follow step one above. Unless Dr Hanif has indicated to the administration formally that a staff or student has been advised to stay at home as a suspected case absence will be recorded as absence. </w:t>
      </w:r>
      <w:r w:rsidDel="00000000" w:rsidR="00000000" w:rsidRPr="00000000">
        <w:rPr>
          <w:rtl w:val="0"/>
        </w:rPr>
      </w:r>
    </w:p>
    <w:p w:rsidR="00000000" w:rsidDel="00000000" w:rsidP="00000000" w:rsidRDefault="00000000" w:rsidRPr="00000000" w14:paraId="0000001A">
      <w:pPr>
        <w:spacing w:after="0" w:line="276" w:lineRule="auto"/>
        <w:jc w:val="both"/>
        <w:rPr>
          <w:b w:val="1"/>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276" w:lineRule="auto"/>
        <w:ind w:left="720" w:hanging="360"/>
        <w:jc w:val="both"/>
        <w:rPr>
          <w:b w:val="1"/>
        </w:rPr>
      </w:pPr>
      <w:r w:rsidDel="00000000" w:rsidR="00000000" w:rsidRPr="00000000">
        <w:rPr>
          <w:b w:val="1"/>
          <w:color w:val="000000"/>
          <w:rtl w:val="0"/>
        </w:rPr>
        <w:t xml:space="preserve">Hand hygiene and respiratory etiquette</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color w:val="000000"/>
          <w:rtl w:val="0"/>
        </w:rPr>
        <w:t xml:space="preserve">It is required that staff and students practice frequent handwashing with soap and water for at least 20 seconds.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color w:val="000000"/>
          <w:rtl w:val="0"/>
        </w:rPr>
        <w:t xml:space="preserve">If for some reason soap and water are not available, persons are required to use hand sanitizer that contains at least 70% alcohol.</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color w:val="000000"/>
          <w:rtl w:val="0"/>
        </w:rPr>
        <w:t xml:space="preserve">If there is the need to sneeze or cough it is necessary to do so into a tissue; after which the tissue should be thrown in the trash and hands washed or sanitized immediately. </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color w:val="000000"/>
          <w:rtl w:val="0"/>
        </w:rPr>
        <w:t xml:space="preserve">It is advised that we should avoid handshakes, fist bumps, hugs and other forms of physical interaction.</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It is strongly advised to avoid sharing personal items e.g., pens, clothing, face mask etc.</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It is advisable to wear clothing that covers the exposed areas of your body which are likely to come into contact with fluid from the skin blisters from infected persons. It is this fluid that can infect another person.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Note that one should avoid placing your fingers into or near your eyes, mouth, nose or ears since these areas might be vulnerable as channels for infection.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While the sanitization tunnels provided by the University have proven effective against Covid 19 they are unlikely to be as effective against Monkeypox therefore the extra step of directly cleansing ALL surfaces with which you come into contact BEFORE use (desks, chairs, tables, door handles etc) with 70% alcohol disinfectant or wipes is CRITICAL to our safety.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Disinfectant or Wipes may be accessed from the University’s stores or the UG MEDEX.</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It is also advised that unnecessary interactions with large crowds where it is hard to distinguish and observe the physical condition of strangers are avoided if possible.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76" w:lineRule="auto"/>
        <w:ind w:left="1260" w:hanging="360"/>
        <w:jc w:val="both"/>
        <w:rPr/>
      </w:pPr>
      <w:r w:rsidDel="00000000" w:rsidR="00000000" w:rsidRPr="00000000">
        <w:rPr>
          <w:rtl w:val="0"/>
        </w:rPr>
        <w:t xml:space="preserve">As the University returns to blended mode of delivery on September 12, personal responsibility, strict and disciplined adherence to our internal protocols and national guidelines, as well as vigilance and reporting of unusual or worrying behaviours and or symptoms will be important to keeping the University safe from all infectious disease including Covid 19 and Monkeypox.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t xml:space="preserve">We therefore are sincerely requesting your usual kind and responsible cooperation.</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76" w:lineRule="auto"/>
        <w:jc w:val="both"/>
        <w:rPr>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76" w:lineRule="auto"/>
        <w:jc w:val="both"/>
        <w:rPr>
          <w:highlight w:val="yell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jc w:val="both"/>
        <w:rPr>
          <w:b w:val="1"/>
        </w:rPr>
      </w:pPr>
      <w:r w:rsidDel="00000000" w:rsidR="00000000" w:rsidRPr="00000000">
        <w:rPr>
          <w:b w:val="1"/>
          <w:rtl w:val="0"/>
        </w:rPr>
        <w:t xml:space="preserve">Contact Medex 623-4647/620-0119</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jc w:val="both"/>
        <w:rPr>
          <w:b w:val="1"/>
        </w:rPr>
      </w:pPr>
      <w:r w:rsidDel="00000000" w:rsidR="00000000" w:rsidRPr="00000000">
        <w:rPr>
          <w:b w:val="1"/>
          <w:rtl w:val="0"/>
        </w:rPr>
        <w:t xml:space="preserve">Contact OHAS 640-0644 </w:t>
      </w:r>
    </w:p>
    <w:p w:rsidR="00000000" w:rsidDel="00000000" w:rsidP="00000000" w:rsidRDefault="00000000" w:rsidRPr="00000000" w14:paraId="0000002D">
      <w:pPr>
        <w:spacing w:after="0" w:line="276" w:lineRule="auto"/>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spacing w:after="0" w:line="276" w:lineRule="auto"/>
        <w:rPr/>
      </w:pPr>
      <w:r w:rsidDel="00000000" w:rsidR="00000000" w:rsidRPr="00000000">
        <w:rPr>
          <w:rtl w:val="0"/>
        </w:rPr>
      </w:r>
    </w:p>
    <w:p w:rsidR="00000000" w:rsidDel="00000000" w:rsidP="00000000" w:rsidRDefault="00000000" w:rsidRPr="00000000" w14:paraId="00000030">
      <w:pPr>
        <w:spacing w:after="0" w:line="276" w:lineRule="auto"/>
        <w:jc w:val="both"/>
        <w:rPr>
          <w:b w:val="1"/>
        </w:rPr>
      </w:pPr>
      <w:r w:rsidDel="00000000" w:rsidR="00000000" w:rsidRPr="00000000">
        <w:rPr>
          <w:b w:val="1"/>
          <w:rtl w:val="0"/>
        </w:rPr>
        <w:tab/>
      </w:r>
    </w:p>
    <w:sectPr>
      <w:headerReference r:id="rId8" w:type="default"/>
      <w:head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76" w:lineRule="auto"/>
      <w:rPr>
        <w:b w:val="1"/>
      </w:rPr>
    </w:pPr>
    <w:r w:rsidDel="00000000" w:rsidR="00000000" w:rsidRPr="00000000">
      <w:rPr>
        <w:rtl w:val="0"/>
      </w:rPr>
    </w:r>
  </w:p>
  <w:tbl>
    <w:tblPr>
      <w:tblStyle w:val="Table1"/>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162" w:hRule="atLeast"/>
        <w:tblHeader w:val="0"/>
      </w:trPr>
      <w:tc>
        <w:tcPr>
          <w:tcBorders>
            <w:bottom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680"/>
              <w:tab w:val="right" w:pos="9360"/>
            </w:tabs>
            <w:spacing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Office of Occupational Health and Safety</w:t>
          </w:r>
          <w:r w:rsidDel="00000000" w:rsidR="00000000" w:rsidRPr="00000000">
            <w:drawing>
              <wp:anchor allowOverlap="1" behindDoc="0" distB="0" distT="0" distL="114300" distR="114300" hidden="0" layoutInCell="1" locked="0" relativeHeight="0" simplePos="0">
                <wp:simplePos x="0" y="0"/>
                <wp:positionH relativeFrom="column">
                  <wp:posOffset>-63793</wp:posOffset>
                </wp:positionH>
                <wp:positionV relativeFrom="paragraph">
                  <wp:posOffset>0</wp:posOffset>
                </wp:positionV>
                <wp:extent cx="1300265" cy="914400"/>
                <wp:effectExtent b="0" l="0" r="0" t="0"/>
                <wp:wrapSquare wrapText="bothSides" distB="0" distT="0" distL="114300" distR="114300"/>
                <wp:docPr descr="A picture containing air, person, jumping, doing&#10;&#10;Description automatically generated" id="8" name="image1.png"/>
                <a:graphic>
                  <a:graphicData uri="http://schemas.openxmlformats.org/drawingml/2006/picture">
                    <pic:pic>
                      <pic:nvPicPr>
                        <pic:cNvPr descr="A picture containing air, person, jumping, doing&#10;&#10;Description automatically generated" id="0" name="image1.png"/>
                        <pic:cNvPicPr preferRelativeResize="0"/>
                      </pic:nvPicPr>
                      <pic:blipFill>
                        <a:blip r:embed="rId1"/>
                        <a:srcRect b="0" l="0" r="0" t="0"/>
                        <a:stretch>
                          <a:fillRect/>
                        </a:stretch>
                      </pic:blipFill>
                      <pic:spPr>
                        <a:xfrm>
                          <a:off x="0" y="0"/>
                          <a:ext cx="1300265" cy="91440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680"/>
              <w:tab w:val="right" w:pos="9360"/>
            </w:tabs>
            <w:spacing w:line="276" w:lineRule="auto"/>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Office of the Vice-Chancellor</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680"/>
              <w:tab w:val="right" w:pos="9360"/>
            </w:tabs>
            <w:spacing w:line="276" w:lineRule="auto"/>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University of Guyana</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pos="4680"/>
              <w:tab w:val="right" w:pos="9360"/>
            </w:tabs>
            <w:spacing w:line="276" w:lineRule="auto"/>
            <w:rPr>
              <w:color w:val="000000"/>
            </w:rPr>
          </w:pPr>
          <w:hyperlink r:id="rId2">
            <w:r w:rsidDel="00000000" w:rsidR="00000000" w:rsidRPr="00000000">
              <w:rPr>
                <w:rFonts w:ascii="Arial" w:cs="Arial" w:eastAsia="Arial" w:hAnsi="Arial"/>
                <w:color w:val="0563c1"/>
                <w:sz w:val="23"/>
                <w:szCs w:val="23"/>
                <w:u w:val="single"/>
                <w:rtl w:val="0"/>
              </w:rPr>
              <w:t xml:space="preserve">oohas@uog.edu.gy</w:t>
            </w:r>
          </w:hyperlink>
          <w:r w:rsidDel="00000000" w:rsidR="00000000" w:rsidRPr="00000000">
            <w:rPr>
              <w:rFonts w:ascii="Arial" w:cs="Arial" w:eastAsia="Arial" w:hAnsi="Arial"/>
              <w:color w:val="000000"/>
              <w:sz w:val="23"/>
              <w:szCs w:val="23"/>
              <w:rtl w:val="0"/>
            </w:rPr>
            <w:t xml:space="preserve"> | </w:t>
          </w:r>
          <w:hyperlink r:id="rId3">
            <w:r w:rsidDel="00000000" w:rsidR="00000000" w:rsidRPr="00000000">
              <w:rPr>
                <w:rFonts w:ascii="Arial" w:cs="Arial" w:eastAsia="Arial" w:hAnsi="Arial"/>
                <w:color w:val="0563c1"/>
                <w:sz w:val="23"/>
                <w:szCs w:val="23"/>
                <w:u w:val="single"/>
                <w:rtl w:val="0"/>
              </w:rPr>
              <w:t xml:space="preserve">www.uog.edu.gy</w:t>
            </w:r>
          </w:hyperlink>
          <w:r w:rsidDel="00000000" w:rsidR="00000000" w:rsidRPr="00000000">
            <w:rPr>
              <w:rtl w:val="0"/>
            </w:rPr>
          </w:r>
        </w:p>
      </w:tc>
    </w:tr>
    <w:tr>
      <w:trPr>
        <w:cantSplit w:val="0"/>
        <w:trHeight w:val="209" w:hRule="atLeast"/>
        <w:tblHeader w:val="0"/>
      </w:trPr>
      <w:tc>
        <w:tcPr>
          <w:tcBorders>
            <w:top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162" w:hRule="atLeast"/>
        <w:tblHeader w:val="0"/>
      </w:trPr>
      <w:tc>
        <w:tcPr>
          <w:tcBorders>
            <w:bottom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680"/>
              <w:tab w:val="right" w:pos="9360"/>
            </w:tabs>
            <w:spacing w:line="276" w:lineRule="auto"/>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Office of Occupational Health and Safety</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pos="4680"/>
              <w:tab w:val="right" w:pos="9360"/>
            </w:tabs>
            <w:spacing w:line="276" w:lineRule="auto"/>
            <w:jc w:val="center"/>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Office of the Vice-Chancellor, University of Guyana</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pos="4680"/>
              <w:tab w:val="right" w:pos="9360"/>
            </w:tabs>
            <w:spacing w:line="276" w:lineRule="auto"/>
            <w:jc w:val="center"/>
            <w:rPr>
              <w:rFonts w:ascii="Arial" w:cs="Arial" w:eastAsia="Arial" w:hAnsi="Arial"/>
              <w:color w:val="0563c1"/>
              <w:sz w:val="23"/>
              <w:szCs w:val="23"/>
              <w:u w:val="single"/>
            </w:rPr>
          </w:pPr>
          <w:hyperlink r:id="rId1">
            <w:r w:rsidDel="00000000" w:rsidR="00000000" w:rsidRPr="00000000">
              <w:rPr>
                <w:rFonts w:ascii="Arial" w:cs="Arial" w:eastAsia="Arial" w:hAnsi="Arial"/>
                <w:color w:val="0563c1"/>
                <w:sz w:val="23"/>
                <w:szCs w:val="23"/>
                <w:u w:val="single"/>
                <w:rtl w:val="0"/>
              </w:rPr>
              <w:t xml:space="preserve">oohas@uog.edu.gy</w:t>
            </w:r>
          </w:hyperlink>
          <w:r w:rsidDel="00000000" w:rsidR="00000000" w:rsidRPr="00000000">
            <w:rPr>
              <w:rFonts w:ascii="Arial" w:cs="Arial" w:eastAsia="Arial" w:hAnsi="Arial"/>
              <w:color w:val="000000"/>
              <w:sz w:val="23"/>
              <w:szCs w:val="23"/>
              <w:rtl w:val="0"/>
            </w:rPr>
            <w:t xml:space="preserve"> | </w:t>
          </w:r>
          <w:hyperlink r:id="rId2">
            <w:r w:rsidDel="00000000" w:rsidR="00000000" w:rsidRPr="00000000">
              <w:rPr>
                <w:rFonts w:ascii="Arial" w:cs="Arial" w:eastAsia="Arial" w:hAnsi="Arial"/>
                <w:color w:val="0563c1"/>
                <w:sz w:val="23"/>
                <w:szCs w:val="23"/>
                <w:u w:val="single"/>
                <w:rtl w:val="0"/>
              </w:rPr>
              <w:t xml:space="preserve">www.uog.edu.gy</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680"/>
              <w:tab w:val="right" w:pos="9360"/>
            </w:tabs>
            <w:spacing w:line="276" w:lineRule="auto"/>
            <w:jc w:val="center"/>
            <w:rPr>
              <w:color w:val="000000"/>
            </w:rPr>
          </w:pPr>
          <w:r w:rsidDel="00000000" w:rsidR="00000000" w:rsidRPr="00000000">
            <w:rPr>
              <w:rtl w:val="0"/>
            </w:rPr>
          </w:r>
        </w:p>
      </w:tc>
    </w:tr>
    <w:tr>
      <w:trPr>
        <w:cantSplit w:val="0"/>
        <w:trHeight w:val="209" w:hRule="atLeast"/>
        <w:tblHeader w:val="0"/>
      </w:trPr>
      <w:tc>
        <w:tcPr>
          <w:tcBorders>
            <w:top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pos="4680"/>
              <w:tab w:val="right" w:pos="9360"/>
            </w:tabs>
            <w:jc w:val="right"/>
            <w:rPr>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029"/>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F0F56"/>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link w:val="Heading2Char"/>
    <w:uiPriority w:val="9"/>
    <w:unhideWhenUsed w:val="1"/>
    <w:qFormat w:val="1"/>
    <w:rsid w:val="000F0F56"/>
    <w:pPr>
      <w:outlineLvl w:val="1"/>
    </w:pPr>
    <w:rPr>
      <w:rFonts w:ascii="Arial" w:cs="Arial" w:hAnsi="Arial"/>
      <w:b w:val="1"/>
      <w:bCs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basedOn w:val="DefaultParagraphFont"/>
    <w:link w:val="Heading2"/>
    <w:uiPriority w:val="9"/>
    <w:rsid w:val="000F0F56"/>
    <w:rPr>
      <w:rFonts w:ascii="Arial" w:cs="Arial" w:hAnsi="Arial"/>
      <w:b w:val="1"/>
      <w:bCs w:val="1"/>
      <w:sz w:val="24"/>
      <w:szCs w:val="24"/>
      <w:lang w:val="en-029"/>
    </w:rPr>
  </w:style>
  <w:style w:type="paragraph" w:styleId="ListParagraph">
    <w:name w:val="List Paragraph"/>
    <w:basedOn w:val="Normal"/>
    <w:uiPriority w:val="34"/>
    <w:qFormat w:val="1"/>
    <w:rsid w:val="000F0F56"/>
    <w:pPr>
      <w:ind w:left="720"/>
      <w:contextualSpacing w:val="1"/>
    </w:pPr>
  </w:style>
  <w:style w:type="paragraph" w:styleId="Header">
    <w:name w:val="header"/>
    <w:basedOn w:val="Normal"/>
    <w:link w:val="HeaderChar"/>
    <w:uiPriority w:val="99"/>
    <w:unhideWhenUsed w:val="1"/>
    <w:rsid w:val="002834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34B0"/>
    <w:rPr>
      <w:rFonts w:ascii="Times New Roman" w:cs="Times New Roman" w:hAnsi="Times New Roman"/>
      <w:sz w:val="24"/>
      <w:szCs w:val="24"/>
      <w:lang w:val="en-029"/>
    </w:rPr>
  </w:style>
  <w:style w:type="paragraph" w:styleId="Footer">
    <w:name w:val="footer"/>
    <w:basedOn w:val="Normal"/>
    <w:link w:val="FooterChar"/>
    <w:uiPriority w:val="99"/>
    <w:unhideWhenUsed w:val="1"/>
    <w:rsid w:val="002834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34B0"/>
    <w:rPr>
      <w:rFonts w:ascii="Times New Roman" w:cs="Times New Roman" w:hAnsi="Times New Roman"/>
      <w:sz w:val="24"/>
      <w:szCs w:val="24"/>
      <w:lang w:val="en-029"/>
    </w:rPr>
  </w:style>
  <w:style w:type="table" w:styleId="TableGrid">
    <w:name w:val="Table Grid"/>
    <w:basedOn w:val="TableNormal"/>
    <w:uiPriority w:val="39"/>
    <w:rsid w:val="002834B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834B0"/>
    <w:rPr>
      <w:color w:val="0563c1" w:themeColor="hyperlink"/>
      <w:u w:val="single"/>
    </w:rPr>
  </w:style>
  <w:style w:type="paragraph" w:styleId="BalloonText">
    <w:name w:val="Balloon Text"/>
    <w:basedOn w:val="Normal"/>
    <w:link w:val="BalloonTextChar"/>
    <w:uiPriority w:val="99"/>
    <w:semiHidden w:val="1"/>
    <w:unhideWhenUsed w:val="1"/>
    <w:rsid w:val="00DC10C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C10C9"/>
    <w:rPr>
      <w:rFonts w:ascii="Segoe UI" w:cs="Segoe UI" w:hAnsi="Segoe UI"/>
      <w:sz w:val="18"/>
      <w:szCs w:val="18"/>
      <w:lang w:val="en-029"/>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Revision">
    <w:name w:val="Revision"/>
    <w:hidden w:val="1"/>
    <w:uiPriority w:val="99"/>
    <w:semiHidden w:val="1"/>
    <w:rsid w:val="00275A58"/>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og.edu.gy/documents/monkey-pox-documents"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oohas@uog.edu.gy" TargetMode="External"/><Relationship Id="rId3" Type="http://schemas.openxmlformats.org/officeDocument/2006/relationships/hyperlink" Target="http://www.uog.edu.gy"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oohas@uog.edu.gy" TargetMode="External"/><Relationship Id="rId2" Type="http://schemas.openxmlformats.org/officeDocument/2006/relationships/hyperlink" Target="http://www.uog.edu.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1LSE0rKljVlCMlc9johyja0DA==">AMUW2mWoT8Qf5NH2B8OTal1LqTigY9K2VaZTqYe4qUg4QpJSeE/Mv7bYcvkNsQ9zGeqtFXo/A5HLfL+DOfbLkW93QaCQOKeUW3fvg1hRgwuW+Ra/+NvjwT7S/hMJP8AwWHCA/3cQUVhZ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2022-08-30T16:16:00Z</dcterms:created>
  <dc:creator>Orin Parris</dc:creator>
</cp:coreProperties>
</file>